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3"/>
            <w:vAlign w:val="bottom"/>
          </w:tcPr>
          <w:p w14:paraId="13B06C54" w14:textId="5620A57E" w:rsidR="00960F25" w:rsidRPr="008676A7" w:rsidRDefault="001F46B3" w:rsidP="003C2E5C">
            <w:pPr>
              <w:pStyle w:val="Ttulo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el lloc de treball </w:t>
            </w:r>
            <w:r w:rsidR="009D7142" w:rsidRPr="001D6599">
              <w:t xml:space="preserve">d’Administratiu/va de Recursos Humans, categoria 3, grau 1 </w:t>
            </w:r>
            <w:r w:rsidR="009D7142" w:rsidRPr="001D6599">
              <w:rPr>
                <w:bCs/>
                <w:szCs w:val="28"/>
              </w:rPr>
              <w:t>(I</w:t>
            </w:r>
            <w:r w:rsidR="009D7142" w:rsidRPr="001D6599">
              <w:t>D</w:t>
            </w:r>
            <w:r w:rsidR="009D7142" w:rsidRPr="001D6599">
              <w:rPr>
                <w:bCs/>
                <w:szCs w:val="28"/>
              </w:rPr>
              <w:t>: 09.31.058) a</w:t>
            </w:r>
            <w:r w:rsidR="009D7142" w:rsidRPr="001D6599">
              <w:t xml:space="preserve"> l’Àrea d’Administració </w:t>
            </w:r>
            <w:r w:rsidRPr="008676A7">
              <w:t xml:space="preserve">d’AQU Catalunya, en règim laboral </w:t>
            </w:r>
            <w:r w:rsidR="00BE3335" w:rsidRPr="008676A7">
              <w:t>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2968D972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Referència de la convocatòria: </w:t>
            </w:r>
            <w:r w:rsidR="009D7142" w:rsidRPr="001D6599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>ORD/ADM3.1/AARH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3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2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25039B60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  <w:p w14:paraId="5CA623BF" w14:textId="77777777" w:rsidR="009223FF" w:rsidRDefault="009223FF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C7859A4" w14:textId="77777777" w:rsidR="00F30B48" w:rsidRPr="00A14DF2" w:rsidRDefault="00F30B48" w:rsidP="00F30B48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 sentit</w:t>
            </w:r>
            <w:r w:rsidRPr="00A14DF2">
              <w:rPr>
                <w:rStyle w:val="Refdenotaalpi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1"/>
            </w:r>
          </w:p>
          <w:p w14:paraId="77BAB4A9" w14:textId="2713F3D6" w:rsidR="009223FF" w:rsidRPr="008676A7" w:rsidRDefault="009223FF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1D43E801" w14:textId="5BC1CD28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  <w:p w14:paraId="34E852F2" w14:textId="77777777" w:rsidR="009223FF" w:rsidRPr="00C652D5" w:rsidRDefault="009223FF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06CDDA" w14:textId="77777777" w:rsidR="00F30B48" w:rsidRPr="00A14DF2" w:rsidRDefault="00F30B48" w:rsidP="00F30B4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Gènere</w:t>
            </w:r>
            <w:r>
              <w:rPr>
                <w:rStyle w:val="Refdenotaalpi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2"/>
            </w:r>
          </w:p>
          <w:p w14:paraId="547B21D5" w14:textId="2313FD23" w:rsidR="009223FF" w:rsidRPr="00C652D5" w:rsidRDefault="00F30B48" w:rsidP="00F30B4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Cs w:val="22"/>
              </w:rPr>
            </w:pP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2E7A03">
              <w:rPr>
                <w:rFonts w:asciiTheme="minorHAnsi" w:hAnsiTheme="minorHAnsi" w:cstheme="minorHAnsi"/>
                <w:color w:val="004D73"/>
                <w:szCs w:val="22"/>
              </w:rPr>
            </w:r>
            <w:r w:rsidR="002E7A03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Masculí 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2E7A03">
              <w:rPr>
                <w:rFonts w:asciiTheme="minorHAnsi" w:hAnsiTheme="minorHAnsi" w:cstheme="minorHAnsi"/>
                <w:color w:val="004D73"/>
                <w:szCs w:val="22"/>
              </w:rPr>
            </w:r>
            <w:r w:rsidR="002E7A03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Femení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2E7A03">
              <w:rPr>
                <w:rFonts w:asciiTheme="minorHAnsi" w:hAnsiTheme="minorHAnsi" w:cstheme="minorHAnsi"/>
                <w:color w:val="004D73"/>
                <w:szCs w:val="22"/>
              </w:rPr>
            </w:r>
            <w:r w:rsidR="002E7A03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No-binari</w:t>
            </w:r>
            <w:r w:rsidRPr="00B4778C"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337A18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337A18">
        <w:trPr>
          <w:cantSplit/>
          <w:trHeight w:val="567"/>
        </w:trPr>
        <w:tc>
          <w:tcPr>
            <w:tcW w:w="10065" w:type="dxa"/>
            <w:gridSpan w:val="3"/>
            <w:vAlign w:val="bottom"/>
          </w:tcPr>
          <w:p w14:paraId="19B46A78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C8AF504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9D7142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9D7142" w:rsidRDefault="00E93162" w:rsidP="008B5530">
                  <w:pPr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9D7142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9D7142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42E6F826" w:rsidR="00F25966" w:rsidRPr="009D7142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general: 3</w:t>
            </w:r>
            <w:r w:rsidR="00FB0890"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</w:t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,1</w:t>
            </w:r>
            <w:r w:rsidR="00FB0890"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0</w:t>
            </w:r>
            <w:r w:rsidR="00E93162"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25DAD2ED" w14:textId="53C8D6E9" w:rsidR="00F25966" w:rsidRPr="009D7142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2E7A0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2E7A0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amb</w:t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20,</w:t>
            </w:r>
            <w:r w:rsidR="00FB0890"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</w:t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0</w:t>
            </w:r>
            <w:r w:rsidR="00E93162"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00095DA0" w:rsidR="00F25966" w:rsidRPr="009D7142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2E7A0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2E7A0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mb la bonificació per membre de família monoparental o de família nombrosa de categoria especial: 12,</w:t>
            </w:r>
            <w:r w:rsidR="00FB0890"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4</w:t>
            </w:r>
            <w:r w:rsidRPr="009D7142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5 euros.</w:t>
            </w:r>
          </w:p>
          <w:p w14:paraId="1889EBFD" w14:textId="560656EE" w:rsidR="00F25966" w:rsidRPr="009D7142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2E1603B4" w14:textId="77777777" w:rsidR="00337A18" w:rsidRDefault="00EF1C2C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9D714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40C77BB3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47B1E22" w14:textId="77777777" w:rsidR="009D7142" w:rsidRDefault="009D7142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9D27CE5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F6E6A66" w14:textId="0C9B66E8" w:rsidR="002E7A03" w:rsidRPr="008B5530" w:rsidRDefault="002E7A03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</w:tc>
      </w:tr>
      <w:tr w:rsidR="00337A18" w14:paraId="56636CCC" w14:textId="77777777" w:rsidTr="00337A18">
        <w:tblPrEx>
          <w:tblBorders>
            <w:bottom w:val="single" w:sz="8" w:space="0" w:color="004D73"/>
          </w:tblBorders>
        </w:tblPrEx>
        <w:trPr>
          <w:cantSplit/>
          <w:trHeight w:val="903"/>
        </w:trPr>
        <w:tc>
          <w:tcPr>
            <w:tcW w:w="10065" w:type="dxa"/>
            <w:gridSpan w:val="3"/>
            <w:tcBorders>
              <w:top w:val="nil"/>
              <w:bottom w:val="nil"/>
            </w:tcBorders>
            <w:vAlign w:val="bottom"/>
          </w:tcPr>
          <w:p w14:paraId="3ACC9B02" w14:textId="3C476186" w:rsidR="00337A18" w:rsidRPr="00337A18" w:rsidRDefault="00337A18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lastRenderedPageBreak/>
              <w:t>Protecció de dades de caràcter personal</w:t>
            </w:r>
          </w:p>
        </w:tc>
      </w:tr>
    </w:tbl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37A18" w14:paraId="36F232E8" w14:textId="77777777" w:rsidTr="00E17786">
        <w:tc>
          <w:tcPr>
            <w:tcW w:w="2552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F51BC7B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DB8838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6A9A27B5" w14:textId="016579AD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C. d’Enric Granados, 33 · 08007 Barcelona ·  Tel.: 93 268 89 50 / </w:t>
            </w:r>
            <w:hyperlink r:id="rId12" w:history="1">
              <w:r w:rsidRPr="00E02FA7">
                <w:rPr>
                  <w:rStyle w:val="Hipervnculo"/>
                  <w:rFonts w:asciiTheme="minorHAnsi" w:hAnsiTheme="minorHAnsi" w:cstheme="minorHAnsi"/>
                  <w:lang w:val="ca-ES"/>
                </w:rPr>
                <w:t>www.aqu</w:t>
              </w:r>
            </w:hyperlink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.cat</w:t>
            </w:r>
          </w:p>
        </w:tc>
      </w:tr>
      <w:tr w:rsidR="00337A18" w14:paraId="39CCFA0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497B431" w14:textId="77777777" w:rsidR="00337A18" w:rsidRPr="005D0E2E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4AE88155" w14:textId="77777777" w:rsidR="00337A18" w:rsidRDefault="00337A18" w:rsidP="001F5F87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4B6894C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9BE064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0A0360DB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3EA778AA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337A18" w14:paraId="66E0D4B8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7A1E54C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8E651E6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337A18" w14:paraId="6D6437F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A4D93D3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D2CDE97" w14:textId="7C6CB3A2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exercici de poders públics.</w:t>
            </w:r>
          </w:p>
        </w:tc>
      </w:tr>
      <w:tr w:rsidR="00337A18" w14:paraId="5BA811CA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38C51644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7BF40671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337A18" w14:paraId="03D47AA2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9BF4C3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Drets de les persones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1ADBF862" w14:textId="00178020" w:rsidR="00337A18" w:rsidRDefault="00337A18" w:rsidP="001F5F8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d’acord amb la normativa aplicable, enviant una sol·licitud a la bústia </w:t>
            </w:r>
            <w:hyperlink r:id="rId13" w:history="1">
              <w:r>
                <w:rPr>
                  <w:rStyle w:val="Hipervnculo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337A18" w14:paraId="372D61C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97140B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8CC783B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337A18" w14:paraId="2E7ACC4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630CC9CF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7CA70514" w14:textId="5EA21424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APDCAT, en paper o mitjançant la seu electrònica de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Autoritat.</w:t>
            </w:r>
          </w:p>
        </w:tc>
      </w:tr>
      <w:tr w:rsidR="00337A18" w14:paraId="427EAC5B" w14:textId="77777777" w:rsidTr="00337A1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A22403" w14:textId="77777777" w:rsidR="00337A18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2497467C" w14:textId="10A6E4BF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A77D6F7" w14:textId="77777777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</w:tr>
    </w:tbl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009B339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30B48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30B48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que són certes totes les dades consignades en la sol·licitud i en el currículum vitae normalitzat adjunt i que reuneixo les condicions exigides per ocupar el lloc de treball sol·licitat, d’acord amb les bases de la convocatòria</w:t>
            </w:r>
            <w:r w:rsidR="009B3391"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009B3391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Pr="00F30B48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:rsidRPr="00F30B48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Pr="00F30B48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F30B48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vitae normalitza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F30B48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3F2734D2" w14:textId="607A0DA5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2E7A03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  <w:p w14:paraId="1163DD23" w14:textId="77777777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1A536515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</w:tc>
      </w:tr>
      <w:tr w:rsidR="008676A7" w:rsidRPr="008676A7" w14:paraId="696CE7F4" w14:textId="77777777" w:rsidTr="00226A5A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Localitat i data: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,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8B5530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lastRenderedPageBreak/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, a l’efecte de consultar les dades del DNI o document que acrediti la identitat de la persona, les seves titulacions no universitàries i 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les titulacions universitàries</w:t>
            </w:r>
            <w:r w:rsidR="00C85FC9" w:rsidRPr="00F30B48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2E7A03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2E7A03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7ED535F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Ttulo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9B3391">
      <w:headerReference w:type="default" r:id="rId14"/>
      <w:footerReference w:type="default" r:id="rId15"/>
      <w:pgSz w:w="11906" w:h="16838"/>
      <w:pgMar w:top="1418" w:right="180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AEF6" w14:textId="77777777" w:rsidR="006D1600" w:rsidRDefault="006D1600" w:rsidP="006D1600">
      <w:r>
        <w:separator/>
      </w:r>
    </w:p>
  </w:endnote>
  <w:endnote w:type="continuationSeparator" w:id="0">
    <w:p w14:paraId="68AD86EC" w14:textId="77777777" w:rsidR="006D1600" w:rsidRDefault="006D1600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Piedepgina"/>
    </w:pPr>
    <w:r>
      <w:rPr>
        <w:noProof/>
        <w:sz w:val="18"/>
        <w:lang w:eastAsia="ca-ES"/>
      </w:rPr>
      <w:drawing>
        <wp:inline distT="0" distB="0" distL="0" distR="0" wp14:anchorId="371EB617" wp14:editId="3F998F96">
          <wp:extent cx="1219835" cy="323850"/>
          <wp:effectExtent l="0" t="0" r="0" b="0"/>
          <wp:docPr id="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63AE" w14:textId="77777777" w:rsidR="006D1600" w:rsidRDefault="006D1600" w:rsidP="006D1600">
      <w:r>
        <w:separator/>
      </w:r>
    </w:p>
  </w:footnote>
  <w:footnote w:type="continuationSeparator" w:id="0">
    <w:p w14:paraId="253053D2" w14:textId="77777777" w:rsidR="006D1600" w:rsidRDefault="006D1600" w:rsidP="006D1600">
      <w:r>
        <w:continuationSeparator/>
      </w:r>
    </w:p>
  </w:footnote>
  <w:footnote w:id="1">
    <w:p w14:paraId="0013977D" w14:textId="77777777" w:rsidR="00F30B48" w:rsidRPr="006A6890" w:rsidRDefault="00F30B48" w:rsidP="00F30B48">
      <w:pPr>
        <w:pStyle w:val="Textonotapie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50E2F27E" w14:textId="77777777" w:rsidR="00F30B48" w:rsidRPr="00A14DF2" w:rsidRDefault="00F30B48" w:rsidP="00F30B48">
      <w:pPr>
        <w:pStyle w:val="Textonotapie"/>
        <w:jc w:val="both"/>
        <w:rPr>
          <w:rFonts w:asciiTheme="minorHAnsi" w:hAnsiTheme="minorHAnsi" w:cstheme="minorHAnsi"/>
          <w:lang w:val="ca-ES"/>
        </w:rPr>
      </w:pP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Encabezado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RBW1aW1BgYAcNnpM542u17m2B4lwNekzp/Cpei75m09yw2HSHITfN/aeqznhlBOwrjAnz4hPj9VvYi5AVRRpQ==" w:salt="X6dpzOirxH6Z0KM6DZ0M9g=="/>
  <w:defaultTabStop w:val="708"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DB9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2E7A03"/>
    <w:rsid w:val="00303326"/>
    <w:rsid w:val="00321B26"/>
    <w:rsid w:val="00323DFD"/>
    <w:rsid w:val="003258AD"/>
    <w:rsid w:val="00336936"/>
    <w:rsid w:val="00337A18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7A08"/>
    <w:rsid w:val="00565556"/>
    <w:rsid w:val="005837B7"/>
    <w:rsid w:val="005A2BE1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61CDB"/>
    <w:rsid w:val="00662435"/>
    <w:rsid w:val="00664A0C"/>
    <w:rsid w:val="006653F5"/>
    <w:rsid w:val="006803A0"/>
    <w:rsid w:val="00685B4B"/>
    <w:rsid w:val="00693CE2"/>
    <w:rsid w:val="006943DD"/>
    <w:rsid w:val="006A4A7D"/>
    <w:rsid w:val="006A63B9"/>
    <w:rsid w:val="006A6890"/>
    <w:rsid w:val="006B4E80"/>
    <w:rsid w:val="006C09A9"/>
    <w:rsid w:val="006D1600"/>
    <w:rsid w:val="006E38E3"/>
    <w:rsid w:val="006E7C0C"/>
    <w:rsid w:val="006F0ECF"/>
    <w:rsid w:val="006F17D2"/>
    <w:rsid w:val="006F526D"/>
    <w:rsid w:val="00705C08"/>
    <w:rsid w:val="007142D9"/>
    <w:rsid w:val="00722AED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D7142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786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B48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0890"/>
    <w:rsid w:val="00FB3193"/>
    <w:rsid w:val="00FC0F29"/>
    <w:rsid w:val="00FC5553"/>
    <w:rsid w:val="00FD3454"/>
    <w:rsid w:val="00FE5CED"/>
    <w:rsid w:val="00FF0C6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Ttulo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ulo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118B"/>
    <w:rPr>
      <w:rFonts w:ascii="Arial" w:hAnsi="Arial"/>
      <w:color w:val="004D73"/>
      <w:u w:val="single" w:color="004D73"/>
    </w:rPr>
  </w:style>
  <w:style w:type="paragraph" w:styleId="Textodeglobo">
    <w:name w:val="Balloon Text"/>
    <w:basedOn w:val="Normal"/>
    <w:link w:val="TextodegloboCar"/>
    <w:rsid w:val="00825B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216C9A"/>
    <w:rPr>
      <w:lang w:val="es-ES" w:eastAsia="es-ES"/>
    </w:rPr>
  </w:style>
  <w:style w:type="character" w:styleId="Refdecomentario">
    <w:name w:val="annotation reference"/>
    <w:basedOn w:val="Fuentedeprrafopredeter"/>
    <w:rsid w:val="00216C9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6C9A"/>
  </w:style>
  <w:style w:type="character" w:customStyle="1" w:styleId="TextocomentarioCar">
    <w:name w:val="Texto comentario Car"/>
    <w:basedOn w:val="Fuentedeprrafopredeter"/>
    <w:link w:val="Textocomentario"/>
    <w:rsid w:val="00216C9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6C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6C9A"/>
    <w:rPr>
      <w:b/>
      <w:bCs/>
      <w:lang w:val="es-ES" w:eastAsia="es-ES"/>
    </w:rPr>
  </w:style>
  <w:style w:type="table" w:styleId="Tablaconcuadrcula">
    <w:name w:val="Table Grid"/>
    <w:basedOn w:val="Tabla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6D1600"/>
  </w:style>
  <w:style w:type="character" w:customStyle="1" w:styleId="TextonotapieCar">
    <w:name w:val="Texto nota pie Car"/>
    <w:basedOn w:val="Fuentedeprrafopredeter"/>
    <w:link w:val="Textonotapie"/>
    <w:rsid w:val="006D1600"/>
    <w:rPr>
      <w:lang w:val="es-ES" w:eastAsia="es-ES"/>
    </w:rPr>
  </w:style>
  <w:style w:type="character" w:styleId="Refdenotaalpie">
    <w:name w:val="footnote reference"/>
    <w:basedOn w:val="Fuentedeprrafopredeter"/>
    <w:rsid w:val="006D1600"/>
    <w:rPr>
      <w:vertAlign w:val="superscript"/>
    </w:rPr>
  </w:style>
  <w:style w:type="paragraph" w:styleId="Encabezado">
    <w:name w:val="header"/>
    <w:basedOn w:val="Normal"/>
    <w:link w:val="EncabezadoCar"/>
    <w:rsid w:val="001F46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46B3"/>
    <w:rPr>
      <w:lang w:val="es-ES" w:eastAsia="es-ES"/>
    </w:rPr>
  </w:style>
  <w:style w:type="paragraph" w:styleId="Piedepgina">
    <w:name w:val="footer"/>
    <w:basedOn w:val="Normal"/>
    <w:link w:val="PiedepginaCar"/>
    <w:rsid w:val="001F46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F46B3"/>
    <w:rPr>
      <w:lang w:val="es-ES" w:eastAsia="es-ES"/>
    </w:rPr>
  </w:style>
  <w:style w:type="character" w:customStyle="1" w:styleId="normaltextrun">
    <w:name w:val="normaltextrun"/>
    <w:basedOn w:val="Fuentedeprrafopredeter"/>
    <w:rsid w:val="007C7272"/>
  </w:style>
  <w:style w:type="paragraph" w:styleId="Prrafodelista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Textoindependiente">
    <w:name w:val="Body Text"/>
    <w:basedOn w:val="Normal"/>
    <w:link w:val="TextoindependienteC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qu.cat/ca/formularis/Atencio-a-l-usuar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q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0509BA39-5048-44F5-802B-B85BBE8CD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F3DFD5-B777-46E5-9151-4B43F3627AF1}">
  <ds:schemaRefs>
    <ds:schemaRef ds:uri="343d3b21-1820-4315-81a7-893fd151862f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8a59b3b-daf9-4762-97a7-3fb4a82235ed"/>
    <ds:schemaRef ds:uri="df6ce4cc-94bb-461c-8ac0-d1ca47839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1.1 Sol.licitud EX_TG2.1_AARR</vt:lpstr>
      <vt:lpstr/>
    </vt:vector>
  </TitlesOfParts>
  <Company>Aqu Catalunya</Company>
  <LinksUpToDate>false</LinksUpToDate>
  <CharactersWithSpaces>4623</CharactersWithSpaces>
  <SharedDoc>false</SharedDoc>
  <HLinks>
    <vt:vector size="12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  <vt:variant>
        <vt:i4>2621550</vt:i4>
      </vt:variant>
      <vt:variant>
        <vt:i4>41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Andrea Eraso Giménez</cp:lastModifiedBy>
  <cp:revision>35</cp:revision>
  <cp:lastPrinted>2019-06-28T06:04:00Z</cp:lastPrinted>
  <dcterms:created xsi:type="dcterms:W3CDTF">2021-11-30T11:49:00Z</dcterms:created>
  <dcterms:modified xsi:type="dcterms:W3CDTF">2024-02-27T14:11:00Z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