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1CE9170C" w:rsidR="00960F25" w:rsidRPr="008676A7" w:rsidRDefault="001F46B3" w:rsidP="00425815">
            <w:pPr>
              <w:pStyle w:val="Ttol1"/>
              <w:spacing w:before="0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750A8E" w:rsidRPr="00750A8E">
              <w:t xml:space="preserve">d’Administratiu/iva de Gestió Econòmica de l‘Àrea d’Administració, categoria 3, </w:t>
            </w:r>
            <w:r w:rsidR="00750A8E" w:rsidRPr="00B61E20">
              <w:t xml:space="preserve">grau 2 </w:t>
            </w:r>
            <w:r w:rsidR="00B7633C" w:rsidRPr="00B61E20">
              <w:rPr>
                <w:bCs/>
                <w:szCs w:val="28"/>
              </w:rPr>
              <w:t>(</w:t>
            </w:r>
            <w:r w:rsidR="00B937F7" w:rsidRPr="00B61E20">
              <w:rPr>
                <w:bCs/>
                <w:szCs w:val="28"/>
              </w:rPr>
              <w:t>I</w:t>
            </w:r>
            <w:r w:rsidR="00B937F7" w:rsidRPr="00B61E20">
              <w:t>D</w:t>
            </w:r>
            <w:r w:rsidR="00B7633C" w:rsidRPr="00B61E20">
              <w:rPr>
                <w:bCs/>
                <w:szCs w:val="28"/>
              </w:rPr>
              <w:t xml:space="preserve">: </w:t>
            </w:r>
            <w:r w:rsidR="00B61E20" w:rsidRPr="00B61E20">
              <w:rPr>
                <w:bCs/>
                <w:szCs w:val="28"/>
              </w:rPr>
              <w:t>08.25.046</w:t>
            </w:r>
            <w:r w:rsidR="00B7633C" w:rsidRPr="00B61E20">
              <w:rPr>
                <w:bCs/>
                <w:szCs w:val="28"/>
              </w:rPr>
              <w:t xml:space="preserve">) </w:t>
            </w:r>
            <w:r w:rsidRPr="00B61E20">
              <w:t>d’AQU Catalunya</w:t>
            </w:r>
            <w:r w:rsidRPr="008676A7">
              <w:t xml:space="preserve">, en règim laboral </w:t>
            </w:r>
            <w:r w:rsidR="00BE3335" w:rsidRPr="008676A7">
              <w:t>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6F6975C1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B61E20" w:rsidRPr="00B61E20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ORD/ADM3.2/AAGE/03.26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Refernciadenotaapeudepgina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Refernciadenotaapeudepgina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2372C5" w14:paraId="29F4C677" w14:textId="77777777" w:rsidTr="00663597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2372C5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D2263A" w:rsidRDefault="00E93162" w:rsidP="002372C5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D2263A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13E80AB" w14:textId="6983A9C4" w:rsidR="00F25966" w:rsidRPr="002372C5" w:rsidRDefault="00F25966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Taxa general: </w:t>
            </w:r>
            <w:r w:rsidR="006F4C25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4</w:t>
            </w:r>
            <w:r w:rsidR="000D5D19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2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,</w:t>
            </w:r>
            <w:r w:rsidR="000D5D19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20</w:t>
            </w:r>
            <w:r w:rsidR="00E93162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euros.</w:t>
            </w:r>
          </w:p>
          <w:p w14:paraId="25DAD2ED" w14:textId="789806F8" w:rsidR="00F25966" w:rsidRPr="002372C5" w:rsidRDefault="00F25966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EF1C2C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Taxa amb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la bonificació per membre de família monoparental o de família nombrosa de categoria general: 2</w:t>
            </w:r>
            <w:r w:rsidR="000D5D19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9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,</w:t>
            </w:r>
            <w:r w:rsidR="000D5D19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5</w:t>
            </w:r>
            <w:r w:rsidR="002372C5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5</w:t>
            </w:r>
            <w:r w:rsidR="00E93162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euros.</w:t>
            </w:r>
          </w:p>
          <w:p w14:paraId="56DA876B" w14:textId="0F603953" w:rsidR="00F25966" w:rsidRPr="002372C5" w:rsidRDefault="00F25966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EF1C2C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Taxa a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mb la bonificació per membre de família monoparental o de família nombrosa de categoria especial</w:t>
            </w:r>
            <w:r w:rsidR="0028143C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, i per a les dones que acreditin la condició de víctima de violència masclista i per als fills que en depenguin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: </w:t>
            </w:r>
            <w:r w:rsidR="00D42EE2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2</w:t>
            </w:r>
            <w:r w:rsidR="000D5D19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1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,</w:t>
            </w:r>
            <w:r w:rsidR="000D5D19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1</w:t>
            </w:r>
            <w:r w:rsidR="00D42EE2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0</w:t>
            </w:r>
            <w:r w:rsidR="000D5D19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euros.</w:t>
            </w:r>
          </w:p>
          <w:p w14:paraId="1889EBFD" w14:textId="560656EE" w:rsidR="00F25966" w:rsidRPr="002372C5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Exempci</w:t>
            </w:r>
            <w:r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ó del pagament de la taxa</w:t>
            </w:r>
            <w:r w:rsidR="00F25966" w:rsidRPr="002372C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2E1603B4" w14:textId="77777777" w:rsidR="00337A18" w:rsidRDefault="00EF1C2C" w:rsidP="002372C5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2712E5AB" w14:textId="77777777" w:rsidR="00337A18" w:rsidRPr="002372C5" w:rsidRDefault="00337A18" w:rsidP="002372C5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262B9D87" w14:textId="77777777" w:rsidR="0028143C" w:rsidRPr="002372C5" w:rsidRDefault="0028143C" w:rsidP="002372C5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44253466" w14:textId="77777777" w:rsidR="0028143C" w:rsidRDefault="0028143C" w:rsidP="002372C5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6E6A66" w14:textId="0C9B66E8" w:rsidR="00AF3852" w:rsidRPr="002372C5" w:rsidRDefault="00AF3852" w:rsidP="002372C5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663597">
        <w:tblPrEx>
          <w:tblBorders>
            <w:bottom w:val="single" w:sz="8" w:space="0" w:color="004D73"/>
          </w:tblBorders>
        </w:tblPrEx>
        <w:trPr>
          <w:cantSplit/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9B02" w14:textId="3C476186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ulaambq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Enlla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Enlla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5AC03F2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DECLARO que són certes totes les dades consignades en la sol·licitud i en el currículum </w:t>
            </w:r>
            <w:proofErr w:type="spellStart"/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vitae</w:t>
            </w:r>
            <w:proofErr w:type="spellEnd"/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5AC03F2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ulaambq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</w:t>
            </w:r>
            <w:proofErr w:type="spellStart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vitae</w:t>
            </w:r>
            <w:proofErr w:type="spellEnd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753585BE" w:rsidR="001F46B3" w:rsidRPr="00F30B48" w:rsidRDefault="00F25966" w:rsidP="00663597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</w:tc>
      </w:tr>
      <w:tr w:rsidR="008676A7" w:rsidRPr="008676A7" w14:paraId="696CE7F4" w14:textId="77777777" w:rsidTr="00AF3852">
        <w:trPr>
          <w:cantSplit/>
          <w:trHeight w:val="715"/>
        </w:trPr>
        <w:tc>
          <w:tcPr>
            <w:tcW w:w="10065" w:type="dxa"/>
            <w:gridSpan w:val="2"/>
            <w:vAlign w:val="bottom"/>
          </w:tcPr>
          <w:p w14:paraId="7475E206" w14:textId="512923FD" w:rsidR="001F46B3" w:rsidRPr="008676A7" w:rsidRDefault="001F46B3" w:rsidP="5AC03F21">
            <w:pPr>
              <w:spacing w:line="260" w:lineRule="exact"/>
              <w:rPr>
                <w:rFonts w:asciiTheme="minorHAnsi" w:hAnsiTheme="minorHAnsi" w:cstheme="minorBidi"/>
                <w:color w:val="004D73"/>
                <w:sz w:val="22"/>
                <w:szCs w:val="22"/>
              </w:rPr>
            </w:pPr>
            <w:proofErr w:type="spellStart"/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Localitat</w:t>
            </w:r>
            <w:proofErr w:type="spellEnd"/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 xml:space="preserve"> i data: </w:t>
            </w:r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</w:r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 xml:space="preserve">, </w:t>
            </w:r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</w:r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5AC03F21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Pr="5AC03F21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AF3852">
        <w:trPr>
          <w:cantSplit/>
          <w:trHeight w:val="4031"/>
        </w:trPr>
        <w:tc>
          <w:tcPr>
            <w:tcW w:w="10065" w:type="dxa"/>
            <w:gridSpan w:val="2"/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ol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48F7941A" w:rsidR="001F46B3" w:rsidRPr="008B5530" w:rsidRDefault="001F46B3" w:rsidP="008B5530">
            <w:pPr>
              <w:pStyle w:val="Ttol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B61E2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</w:t>
            </w:r>
            <w:r w:rsidR="00EE574A" w:rsidRPr="00B61E2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a</w:t>
            </w: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 xml:space="preserve"> de l’Agència per a la Qualitat del Sistema Universitari de Catalunya</w:t>
            </w:r>
          </w:p>
        </w:tc>
      </w:tr>
    </w:tbl>
    <w:p w14:paraId="4D81056A" w14:textId="20F79A5D" w:rsidR="00A66262" w:rsidRPr="00A066BB" w:rsidRDefault="00A66262" w:rsidP="00AF3852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AF3852">
      <w:headerReference w:type="default" r:id="rId14"/>
      <w:footerReference w:type="default" r:id="rId15"/>
      <w:pgSz w:w="11906" w:h="16838"/>
      <w:pgMar w:top="1418" w:right="180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553D" w14:textId="77777777" w:rsidR="00880919" w:rsidRDefault="00880919" w:rsidP="006D1600">
      <w:r>
        <w:separator/>
      </w:r>
    </w:p>
  </w:endnote>
  <w:endnote w:type="continuationSeparator" w:id="0">
    <w:p w14:paraId="50F55D94" w14:textId="77777777" w:rsidR="00880919" w:rsidRDefault="00880919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3B7" w14:textId="5D343694" w:rsidR="0029274E" w:rsidRDefault="0029274E">
    <w:pPr>
      <w:pStyle w:val="Peu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584991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DE25" w14:textId="77777777" w:rsidR="00880919" w:rsidRDefault="00880919" w:rsidP="006D1600">
      <w:r>
        <w:separator/>
      </w:r>
    </w:p>
  </w:footnote>
  <w:footnote w:type="continuationSeparator" w:id="0">
    <w:p w14:paraId="4CE0EFD6" w14:textId="77777777" w:rsidR="00880919" w:rsidRDefault="00880919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Les persones </w:t>
      </w:r>
      <w:proofErr w:type="spellStart"/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trans</w:t>
      </w:r>
      <w:proofErr w:type="spellEnd"/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Textdenotaapeudepgina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4F5E" w14:textId="611DFA1E" w:rsidR="001F46B3" w:rsidRDefault="00752ECA">
    <w:pPr>
      <w:pStyle w:val="Capalera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6993855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MuJqFkor+o0sMEH9nsBrVirnuP9qgTWfC52Goci/BvO1zPER/iWODWQjLzbYXq/L6mguaK2v/LLmfTyzvva5A==" w:salt="0bH9zvmkUbIQoph42fohD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06565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D5D19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372C5"/>
    <w:rsid w:val="002573FB"/>
    <w:rsid w:val="002575B0"/>
    <w:rsid w:val="00261742"/>
    <w:rsid w:val="00271DB9"/>
    <w:rsid w:val="0028143C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03FCB"/>
    <w:rsid w:val="00415B98"/>
    <w:rsid w:val="00416074"/>
    <w:rsid w:val="004236EE"/>
    <w:rsid w:val="00425815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5664"/>
    <w:rsid w:val="00537EA6"/>
    <w:rsid w:val="00557A08"/>
    <w:rsid w:val="00565556"/>
    <w:rsid w:val="005837B7"/>
    <w:rsid w:val="0059713D"/>
    <w:rsid w:val="005A2BE1"/>
    <w:rsid w:val="005A334C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58E9"/>
    <w:rsid w:val="00647D39"/>
    <w:rsid w:val="006503D1"/>
    <w:rsid w:val="00661CDB"/>
    <w:rsid w:val="00662435"/>
    <w:rsid w:val="00663597"/>
    <w:rsid w:val="00664A0C"/>
    <w:rsid w:val="006653F5"/>
    <w:rsid w:val="006707DF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4C25"/>
    <w:rsid w:val="006F526D"/>
    <w:rsid w:val="00705C08"/>
    <w:rsid w:val="007142D9"/>
    <w:rsid w:val="00722AED"/>
    <w:rsid w:val="007272E0"/>
    <w:rsid w:val="00744D7E"/>
    <w:rsid w:val="00750A8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80919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3675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AF3852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1E20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53DD"/>
    <w:rsid w:val="00BD764F"/>
    <w:rsid w:val="00BE3335"/>
    <w:rsid w:val="00BE5117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2263A"/>
    <w:rsid w:val="00D32700"/>
    <w:rsid w:val="00D34882"/>
    <w:rsid w:val="00D42EE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574A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443BA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B60F9"/>
    <w:rsid w:val="00FC0F29"/>
    <w:rsid w:val="00FC5553"/>
    <w:rsid w:val="00FD3454"/>
    <w:rsid w:val="00FE5CED"/>
    <w:rsid w:val="00FF0C68"/>
    <w:rsid w:val="00FF1233"/>
    <w:rsid w:val="5AC0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ol1">
    <w:name w:val="heading 1"/>
    <w:basedOn w:val="Normal"/>
    <w:next w:val="Normal"/>
    <w:link w:val="Ttol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ol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8C118B"/>
    <w:rPr>
      <w:rFonts w:ascii="Arial" w:hAnsi="Arial"/>
      <w:color w:val="004D73"/>
      <w:u w:val="single" w:color="004D73"/>
    </w:rPr>
  </w:style>
  <w:style w:type="paragraph" w:styleId="Textdeglobus">
    <w:name w:val="Balloon Text"/>
    <w:basedOn w:val="Normal"/>
    <w:link w:val="TextdeglobusCar"/>
    <w:rsid w:val="00825BA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">
    <w:name w:val="Revision"/>
    <w:hidden/>
    <w:uiPriority w:val="99"/>
    <w:semiHidden/>
    <w:rsid w:val="00216C9A"/>
    <w:rPr>
      <w:lang w:val="es-ES" w:eastAsia="es-ES"/>
    </w:rPr>
  </w:style>
  <w:style w:type="character" w:styleId="Refernciadecomentari">
    <w:name w:val="annotation reference"/>
    <w:basedOn w:val="Lletraperdefectedelpargraf"/>
    <w:rsid w:val="00216C9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16C9A"/>
  </w:style>
  <w:style w:type="character" w:customStyle="1" w:styleId="TextdecomentariCar">
    <w:name w:val="Text de comentari Car"/>
    <w:basedOn w:val="Lletraperdefectedelpargraf"/>
    <w:link w:val="Textdecomentari"/>
    <w:rsid w:val="00216C9A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16C9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16C9A"/>
    <w:rPr>
      <w:b/>
      <w:bCs/>
      <w:lang w:val="es-ES" w:eastAsia="es-ES"/>
    </w:rPr>
  </w:style>
  <w:style w:type="table" w:styleId="Taulaambquadrcula">
    <w:name w:val="Table Grid"/>
    <w:basedOn w:val="Tau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rsid w:val="006D1600"/>
  </w:style>
  <w:style w:type="character" w:customStyle="1" w:styleId="TextdenotaapeudepginaCar">
    <w:name w:val="Text de nota a peu de pàgina Car"/>
    <w:basedOn w:val="Lletraperdefectedelpargraf"/>
    <w:link w:val="Textdenotaapeudepgina"/>
    <w:rsid w:val="006D1600"/>
    <w:rPr>
      <w:lang w:val="es-ES" w:eastAsia="es-ES"/>
    </w:rPr>
  </w:style>
  <w:style w:type="character" w:styleId="Refernciadenotaapeudepgina">
    <w:name w:val="footnote reference"/>
    <w:basedOn w:val="Lletraperdefectedelpargraf"/>
    <w:rsid w:val="006D1600"/>
    <w:rPr>
      <w:vertAlign w:val="superscript"/>
    </w:rPr>
  </w:style>
  <w:style w:type="paragraph" w:styleId="Capalera">
    <w:name w:val="header"/>
    <w:basedOn w:val="Normal"/>
    <w:link w:val="CapaleraCar"/>
    <w:rsid w:val="001F46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F46B3"/>
    <w:rPr>
      <w:lang w:val="es-ES" w:eastAsia="es-ES"/>
    </w:rPr>
  </w:style>
  <w:style w:type="paragraph" w:styleId="Peu">
    <w:name w:val="footer"/>
    <w:basedOn w:val="Normal"/>
    <w:link w:val="PeuCar"/>
    <w:rsid w:val="001F46B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F46B3"/>
    <w:rPr>
      <w:lang w:val="es-ES" w:eastAsia="es-ES"/>
    </w:rPr>
  </w:style>
  <w:style w:type="character" w:customStyle="1" w:styleId="normaltextrun">
    <w:name w:val="normaltextrun"/>
    <w:basedOn w:val="Lletraperdefectedelpargraf"/>
    <w:rsid w:val="007C7272"/>
  </w:style>
  <w:style w:type="paragraph" w:styleId="Pargrafdel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independent">
    <w:name w:val="Body Text"/>
    <w:basedOn w:val="Normal"/>
    <w:link w:val="Textindependent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5" ma:contentTypeDescription="Crea un document corporatiu nou" ma:contentTypeScope="" ma:versionID="6e8fd6bd483e71cc19243151f496ff0e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d659ae2b1877a4d3554f9fe8429d72fe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2908D-9CF4-4B53-ACB3-DEFBEEC76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3DFD5-B777-46E5-9151-4B43F3627AF1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28a59b3b-daf9-4762-97a7-3fb4a82235ed"/>
    <ds:schemaRef ds:uri="343d3b21-1820-4315-81a7-893fd151862f"/>
  </ds:schemaRefs>
</ds:datastoreItem>
</file>

<file path=customXml/itemProps4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4011</Characters>
  <Application>Microsoft Office Word</Application>
  <DocSecurity>0</DocSecurity>
  <Lines>133</Lines>
  <Paragraphs>91</Paragraphs>
  <ScaleCrop>false</ScaleCrop>
  <Company>Aqu Catalunya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50</cp:revision>
  <cp:lastPrinted>2019-06-28T06:04:00Z</cp:lastPrinted>
  <dcterms:created xsi:type="dcterms:W3CDTF">2021-11-30T11:49:00Z</dcterms:created>
  <dcterms:modified xsi:type="dcterms:W3CDTF">2026-07-17T12:32:00Z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